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65" w:type="dxa"/>
        <w:tblLook w:val="04A0" w:firstRow="1" w:lastRow="0" w:firstColumn="1" w:lastColumn="0" w:noHBand="0" w:noVBand="1"/>
      </w:tblPr>
      <w:tblGrid>
        <w:gridCol w:w="2160"/>
        <w:gridCol w:w="7555"/>
      </w:tblGrid>
      <w:tr w:rsidR="00C2777D" w:rsidTr="00976281">
        <w:tc>
          <w:tcPr>
            <w:tcW w:w="9715" w:type="dxa"/>
            <w:gridSpan w:val="2"/>
            <w:tcBorders>
              <w:top w:val="nil"/>
              <w:left w:val="nil"/>
              <w:bottom w:val="nil"/>
              <w:right w:val="nil"/>
            </w:tcBorders>
          </w:tcPr>
          <w:p w:rsidR="00C2777D" w:rsidRDefault="00C2777D" w:rsidP="00C2777D">
            <w:pPr>
              <w:jc w:val="center"/>
            </w:pPr>
            <w:r w:rsidRPr="00C958FB">
              <w:rPr>
                <w:noProof/>
              </w:rPr>
              <w:drawing>
                <wp:inline distT="0" distB="0" distL="0" distR="0" wp14:anchorId="6C3BCD76" wp14:editId="4D462A2B">
                  <wp:extent cx="2635885" cy="18808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8299" cy="1946813"/>
                          </a:xfrm>
                          <a:prstGeom prst="rect">
                            <a:avLst/>
                          </a:prstGeom>
                          <a:noFill/>
                          <a:ln>
                            <a:noFill/>
                          </a:ln>
                        </pic:spPr>
                      </pic:pic>
                    </a:graphicData>
                  </a:graphic>
                </wp:inline>
              </w:drawing>
            </w:r>
          </w:p>
        </w:tc>
      </w:tr>
      <w:tr w:rsidR="00C2777D" w:rsidTr="00976281">
        <w:trPr>
          <w:trHeight w:val="9891"/>
        </w:trPr>
        <w:tc>
          <w:tcPr>
            <w:tcW w:w="2160" w:type="dxa"/>
            <w:tcBorders>
              <w:top w:val="nil"/>
              <w:left w:val="nil"/>
              <w:bottom w:val="nil"/>
              <w:right w:val="single" w:sz="4" w:space="0" w:color="2F5496" w:themeColor="accent1" w:themeShade="BF"/>
            </w:tcBorders>
          </w:tcPr>
          <w:p w:rsidR="00C2777D" w:rsidRDefault="00C2777D" w:rsidP="00C2777D">
            <w:pPr>
              <w:jc w:val="center"/>
              <w:rPr>
                <w:rFonts w:ascii="Arial Narrow" w:hAnsi="Arial Narrow"/>
                <w:b/>
                <w:color w:val="2F5496" w:themeColor="accent1" w:themeShade="BF"/>
                <w:sz w:val="22"/>
                <w:szCs w:val="22"/>
              </w:rPr>
            </w:pPr>
          </w:p>
          <w:p w:rsidR="00C2777D" w:rsidRDefault="00C2777D" w:rsidP="00C2777D">
            <w:pPr>
              <w:jc w:val="center"/>
              <w:rPr>
                <w:rFonts w:ascii="Arial Narrow" w:hAnsi="Arial Narrow"/>
                <w:b/>
                <w:color w:val="2F5496" w:themeColor="accent1" w:themeShade="BF"/>
                <w:sz w:val="22"/>
                <w:szCs w:val="22"/>
              </w:rPr>
            </w:pPr>
          </w:p>
          <w:p w:rsidR="00C2777D" w:rsidRDefault="00C2777D" w:rsidP="00C2777D">
            <w:pPr>
              <w:jc w:val="center"/>
              <w:rPr>
                <w:rFonts w:ascii="Arial Narrow" w:hAnsi="Arial Narrow"/>
                <w:b/>
                <w:color w:val="2F5496" w:themeColor="accent1" w:themeShade="BF"/>
                <w:sz w:val="22"/>
                <w:szCs w:val="22"/>
              </w:rPr>
            </w:pPr>
          </w:p>
          <w:p w:rsidR="00C2777D" w:rsidRDefault="00C2777D" w:rsidP="00C2777D">
            <w:pPr>
              <w:jc w:val="center"/>
              <w:rPr>
                <w:rFonts w:ascii="Arial Narrow" w:hAnsi="Arial Narrow"/>
                <w:b/>
                <w:color w:val="2F5496" w:themeColor="accent1" w:themeShade="BF"/>
                <w:sz w:val="22"/>
                <w:szCs w:val="22"/>
              </w:rPr>
            </w:pPr>
          </w:p>
          <w:p w:rsidR="00C2777D" w:rsidRPr="00C2777D" w:rsidRDefault="00C2777D" w:rsidP="00C2777D">
            <w:pPr>
              <w:jc w:val="center"/>
              <w:rPr>
                <w:rFonts w:ascii="Arial Narrow" w:hAnsi="Arial Narrow"/>
                <w:b/>
                <w:color w:val="2F5496" w:themeColor="accent1" w:themeShade="BF"/>
                <w:sz w:val="22"/>
                <w:szCs w:val="22"/>
              </w:rPr>
            </w:pPr>
            <w:r w:rsidRPr="00C2777D">
              <w:rPr>
                <w:rFonts w:ascii="Arial Narrow" w:hAnsi="Arial Narrow"/>
                <w:b/>
                <w:color w:val="2F5496" w:themeColor="accent1" w:themeShade="BF"/>
                <w:sz w:val="22"/>
                <w:szCs w:val="22"/>
              </w:rPr>
              <w:t>Craig Carter</w:t>
            </w:r>
          </w:p>
          <w:p w:rsidR="00C2777D" w:rsidRPr="00C2777D" w:rsidRDefault="00C2777D" w:rsidP="00C2777D">
            <w:pPr>
              <w:jc w:val="center"/>
              <w:rPr>
                <w:rFonts w:ascii="Arial Narrow" w:hAnsi="Arial Narrow"/>
                <w:color w:val="2F5496" w:themeColor="accent1" w:themeShade="BF"/>
                <w:sz w:val="22"/>
                <w:szCs w:val="22"/>
              </w:rPr>
            </w:pPr>
            <w:r w:rsidRPr="00C2777D">
              <w:rPr>
                <w:rFonts w:ascii="Arial Narrow" w:hAnsi="Arial Narrow"/>
                <w:color w:val="2F5496" w:themeColor="accent1" w:themeShade="BF"/>
                <w:sz w:val="22"/>
                <w:szCs w:val="22"/>
              </w:rPr>
              <w:t>Circuit Judge</w:t>
            </w:r>
          </w:p>
          <w:p w:rsidR="00C2777D" w:rsidRPr="00C2777D" w:rsidRDefault="00C2777D" w:rsidP="00C2777D">
            <w:pPr>
              <w:jc w:val="center"/>
              <w:rPr>
                <w:rFonts w:ascii="Arial Narrow" w:hAnsi="Arial Narrow"/>
                <w:color w:val="2F5496" w:themeColor="accent1" w:themeShade="BF"/>
                <w:sz w:val="22"/>
                <w:szCs w:val="22"/>
              </w:rPr>
            </w:pPr>
          </w:p>
          <w:p w:rsidR="00C2777D" w:rsidRPr="00C2777D" w:rsidRDefault="00C2777D" w:rsidP="00C2777D">
            <w:pPr>
              <w:jc w:val="center"/>
              <w:rPr>
                <w:rFonts w:ascii="Arial Narrow" w:hAnsi="Arial Narrow"/>
                <w:b/>
                <w:color w:val="2F5496" w:themeColor="accent1" w:themeShade="BF"/>
                <w:sz w:val="22"/>
                <w:szCs w:val="22"/>
              </w:rPr>
            </w:pPr>
            <w:r w:rsidRPr="00C2777D">
              <w:rPr>
                <w:rFonts w:ascii="Arial Narrow" w:hAnsi="Arial Narrow"/>
                <w:b/>
                <w:color w:val="2F5496" w:themeColor="accent1" w:themeShade="BF"/>
                <w:sz w:val="22"/>
                <w:szCs w:val="22"/>
              </w:rPr>
              <w:t>Marla Solomon</w:t>
            </w:r>
          </w:p>
          <w:p w:rsidR="00C2777D" w:rsidRPr="00C2777D" w:rsidRDefault="00C2777D" w:rsidP="00C2777D">
            <w:pPr>
              <w:jc w:val="center"/>
              <w:rPr>
                <w:rFonts w:ascii="Arial Narrow" w:hAnsi="Arial Narrow"/>
                <w:color w:val="2F5496" w:themeColor="accent1" w:themeShade="BF"/>
                <w:sz w:val="22"/>
                <w:szCs w:val="22"/>
              </w:rPr>
            </w:pPr>
            <w:r w:rsidRPr="00C2777D">
              <w:rPr>
                <w:rFonts w:ascii="Arial Narrow" w:hAnsi="Arial Narrow"/>
                <w:color w:val="2F5496" w:themeColor="accent1" w:themeShade="BF"/>
                <w:sz w:val="22"/>
                <w:szCs w:val="22"/>
              </w:rPr>
              <w:t>Chief Juvenile Officer</w:t>
            </w:r>
          </w:p>
          <w:p w:rsidR="00C2777D" w:rsidRPr="00C2777D" w:rsidRDefault="00C2777D" w:rsidP="00C2777D">
            <w:pPr>
              <w:jc w:val="center"/>
              <w:rPr>
                <w:rFonts w:ascii="Arial Narrow" w:hAnsi="Arial Narrow"/>
                <w:color w:val="2F5496" w:themeColor="accent1" w:themeShade="BF"/>
                <w:sz w:val="22"/>
                <w:szCs w:val="22"/>
              </w:rPr>
            </w:pPr>
          </w:p>
          <w:p w:rsidR="00C2777D" w:rsidRPr="00C2777D" w:rsidRDefault="00C2777D" w:rsidP="00C2777D">
            <w:pPr>
              <w:jc w:val="center"/>
              <w:rPr>
                <w:rFonts w:ascii="Arial Narrow" w:hAnsi="Arial Narrow"/>
                <w:b/>
                <w:color w:val="2F5496" w:themeColor="accent1" w:themeShade="BF"/>
                <w:sz w:val="22"/>
                <w:szCs w:val="22"/>
              </w:rPr>
            </w:pPr>
            <w:r w:rsidRPr="00C2777D">
              <w:rPr>
                <w:rFonts w:ascii="Arial Narrow" w:hAnsi="Arial Narrow"/>
                <w:b/>
                <w:color w:val="2F5496" w:themeColor="accent1" w:themeShade="BF"/>
                <w:sz w:val="22"/>
                <w:szCs w:val="22"/>
              </w:rPr>
              <w:t xml:space="preserve">Rose </w:t>
            </w:r>
            <w:proofErr w:type="spellStart"/>
            <w:r w:rsidRPr="00C2777D">
              <w:rPr>
                <w:rFonts w:ascii="Arial Narrow" w:hAnsi="Arial Narrow"/>
                <w:b/>
                <w:color w:val="2F5496" w:themeColor="accent1" w:themeShade="BF"/>
                <w:sz w:val="22"/>
                <w:szCs w:val="22"/>
              </w:rPr>
              <w:t>Hiler</w:t>
            </w:r>
            <w:proofErr w:type="spellEnd"/>
          </w:p>
          <w:p w:rsidR="00C2777D" w:rsidRDefault="00C2777D" w:rsidP="00C2777D">
            <w:pPr>
              <w:jc w:val="center"/>
              <w:rPr>
                <w:rFonts w:ascii="Arial Narrow" w:hAnsi="Arial Narrow"/>
                <w:color w:val="2F5496" w:themeColor="accent1" w:themeShade="BF"/>
                <w:sz w:val="22"/>
                <w:szCs w:val="22"/>
              </w:rPr>
            </w:pPr>
            <w:r w:rsidRPr="00C2777D">
              <w:rPr>
                <w:rFonts w:ascii="Arial Narrow" w:hAnsi="Arial Narrow"/>
                <w:color w:val="2F5496" w:themeColor="accent1" w:themeShade="BF"/>
                <w:sz w:val="22"/>
                <w:szCs w:val="22"/>
              </w:rPr>
              <w:t>Chief Deputy</w:t>
            </w:r>
          </w:p>
          <w:p w:rsidR="00C2777D" w:rsidRDefault="00C2777D" w:rsidP="00C2777D">
            <w:pPr>
              <w:jc w:val="center"/>
              <w:rPr>
                <w:rFonts w:ascii="Arial Narrow" w:hAnsi="Arial Narrow"/>
                <w:color w:val="2F5496" w:themeColor="accent1" w:themeShade="BF"/>
                <w:sz w:val="22"/>
                <w:szCs w:val="22"/>
              </w:rPr>
            </w:pPr>
            <w:r w:rsidRPr="00C2777D">
              <w:rPr>
                <w:rFonts w:ascii="Arial Narrow" w:hAnsi="Arial Narrow"/>
                <w:color w:val="2F5496" w:themeColor="accent1" w:themeShade="BF"/>
                <w:sz w:val="22"/>
                <w:szCs w:val="22"/>
              </w:rPr>
              <w:t>Juvenile Officer</w:t>
            </w:r>
          </w:p>
          <w:p w:rsidR="00721D17" w:rsidRDefault="00721D17" w:rsidP="00B150A3">
            <w:pPr>
              <w:rPr>
                <w:rFonts w:ascii="Arial Narrow" w:hAnsi="Arial Narrow"/>
                <w:b/>
                <w:color w:val="2F5496" w:themeColor="accent1" w:themeShade="BF"/>
                <w:sz w:val="22"/>
                <w:szCs w:val="22"/>
              </w:rPr>
            </w:pPr>
          </w:p>
          <w:p w:rsidR="00DA60D6" w:rsidRPr="00C2777D" w:rsidRDefault="00721D17" w:rsidP="00DA60D6">
            <w:pPr>
              <w:jc w:val="center"/>
              <w:rPr>
                <w:rFonts w:ascii="Arial Narrow" w:hAnsi="Arial Narrow"/>
                <w:b/>
                <w:color w:val="2F5496" w:themeColor="accent1" w:themeShade="BF"/>
                <w:sz w:val="22"/>
                <w:szCs w:val="22"/>
              </w:rPr>
            </w:pPr>
            <w:r>
              <w:rPr>
                <w:rFonts w:ascii="Arial Narrow" w:hAnsi="Arial Narrow"/>
                <w:b/>
                <w:color w:val="2F5496" w:themeColor="accent1" w:themeShade="BF"/>
                <w:sz w:val="22"/>
                <w:szCs w:val="22"/>
              </w:rPr>
              <w:t>Courtney Smith</w:t>
            </w:r>
          </w:p>
          <w:p w:rsidR="00DA60D6" w:rsidRDefault="00DA60D6" w:rsidP="00B10F69">
            <w:pPr>
              <w:rPr>
                <w:rFonts w:ascii="Arial Narrow" w:hAnsi="Arial Narrow"/>
                <w:color w:val="2F5496" w:themeColor="accent1" w:themeShade="BF"/>
                <w:sz w:val="22"/>
                <w:szCs w:val="22"/>
              </w:rPr>
            </w:pPr>
            <w:r>
              <w:rPr>
                <w:rFonts w:ascii="Arial Narrow" w:hAnsi="Arial Narrow"/>
                <w:color w:val="2F5496" w:themeColor="accent1" w:themeShade="BF"/>
                <w:sz w:val="22"/>
                <w:szCs w:val="22"/>
              </w:rPr>
              <w:t>Deputy</w:t>
            </w:r>
            <w:r w:rsidR="00B10F69">
              <w:rPr>
                <w:rFonts w:ascii="Arial Narrow" w:hAnsi="Arial Narrow"/>
                <w:color w:val="2F5496" w:themeColor="accent1" w:themeShade="BF"/>
                <w:sz w:val="22"/>
                <w:szCs w:val="22"/>
              </w:rPr>
              <w:t xml:space="preserve"> </w:t>
            </w:r>
            <w:r>
              <w:rPr>
                <w:rFonts w:ascii="Arial Narrow" w:hAnsi="Arial Narrow"/>
                <w:color w:val="2F5496" w:themeColor="accent1" w:themeShade="BF"/>
                <w:sz w:val="22"/>
                <w:szCs w:val="22"/>
              </w:rPr>
              <w:t>Juvenile Officer</w:t>
            </w:r>
          </w:p>
          <w:p w:rsidR="00A85D54" w:rsidRDefault="00A85D54" w:rsidP="00B10F69">
            <w:pPr>
              <w:rPr>
                <w:rFonts w:ascii="Arial Narrow" w:hAnsi="Arial Narrow"/>
                <w:color w:val="2F5496" w:themeColor="accent1" w:themeShade="BF"/>
                <w:sz w:val="22"/>
                <w:szCs w:val="22"/>
              </w:rPr>
            </w:pPr>
          </w:p>
          <w:p w:rsidR="00C2777D" w:rsidRPr="00C2777D" w:rsidRDefault="00C2777D" w:rsidP="00C2777D">
            <w:pPr>
              <w:jc w:val="center"/>
              <w:rPr>
                <w:rFonts w:ascii="Arial Narrow" w:hAnsi="Arial Narrow"/>
                <w:b/>
                <w:color w:val="2F5496" w:themeColor="accent1" w:themeShade="BF"/>
                <w:sz w:val="22"/>
                <w:szCs w:val="22"/>
              </w:rPr>
            </w:pPr>
            <w:r w:rsidRPr="00C2777D">
              <w:rPr>
                <w:rFonts w:ascii="Arial Narrow" w:hAnsi="Arial Narrow"/>
                <w:b/>
                <w:color w:val="2F5496" w:themeColor="accent1" w:themeShade="BF"/>
                <w:sz w:val="22"/>
                <w:szCs w:val="22"/>
              </w:rPr>
              <w:t xml:space="preserve">Jeannette </w:t>
            </w:r>
            <w:proofErr w:type="spellStart"/>
            <w:r w:rsidRPr="00C2777D">
              <w:rPr>
                <w:rFonts w:ascii="Arial Narrow" w:hAnsi="Arial Narrow"/>
                <w:b/>
                <w:color w:val="2F5496" w:themeColor="accent1" w:themeShade="BF"/>
                <w:sz w:val="22"/>
                <w:szCs w:val="22"/>
              </w:rPr>
              <w:t>Higby</w:t>
            </w:r>
            <w:proofErr w:type="spellEnd"/>
          </w:p>
          <w:p w:rsidR="00C2777D" w:rsidRDefault="00C2777D" w:rsidP="00C2777D">
            <w:pPr>
              <w:jc w:val="center"/>
              <w:rPr>
                <w:rFonts w:ascii="Arial Narrow" w:hAnsi="Arial Narrow"/>
                <w:color w:val="2F5496" w:themeColor="accent1" w:themeShade="BF"/>
                <w:sz w:val="22"/>
                <w:szCs w:val="22"/>
              </w:rPr>
            </w:pPr>
            <w:r>
              <w:rPr>
                <w:rFonts w:ascii="Arial Narrow" w:hAnsi="Arial Narrow"/>
                <w:color w:val="2F5496" w:themeColor="accent1" w:themeShade="BF"/>
                <w:sz w:val="22"/>
                <w:szCs w:val="22"/>
              </w:rPr>
              <w:t>Administrative Assistant</w:t>
            </w:r>
          </w:p>
          <w:p w:rsidR="00C2777D" w:rsidRDefault="00C2777D" w:rsidP="00C2777D">
            <w:pPr>
              <w:jc w:val="center"/>
              <w:rPr>
                <w:rFonts w:ascii="Arial Narrow" w:hAnsi="Arial Narrow"/>
                <w:color w:val="2F5496" w:themeColor="accent1" w:themeShade="BF"/>
                <w:sz w:val="22"/>
                <w:szCs w:val="22"/>
              </w:rPr>
            </w:pPr>
          </w:p>
          <w:p w:rsidR="00C2777D" w:rsidRPr="00C2777D" w:rsidRDefault="00C2777D" w:rsidP="00C2777D">
            <w:pPr>
              <w:jc w:val="center"/>
              <w:rPr>
                <w:rFonts w:ascii="Arial Narrow" w:hAnsi="Arial Narrow"/>
                <w:b/>
                <w:color w:val="2F5496" w:themeColor="accent1" w:themeShade="BF"/>
                <w:sz w:val="22"/>
                <w:szCs w:val="22"/>
              </w:rPr>
            </w:pPr>
            <w:r w:rsidRPr="00C2777D">
              <w:rPr>
                <w:rFonts w:ascii="Arial Narrow" w:hAnsi="Arial Narrow"/>
                <w:b/>
                <w:color w:val="2F5496" w:themeColor="accent1" w:themeShade="BF"/>
                <w:sz w:val="22"/>
                <w:szCs w:val="22"/>
              </w:rPr>
              <w:t xml:space="preserve">Fallon </w:t>
            </w:r>
            <w:proofErr w:type="spellStart"/>
            <w:r w:rsidRPr="00C2777D">
              <w:rPr>
                <w:rFonts w:ascii="Arial Narrow" w:hAnsi="Arial Narrow"/>
                <w:b/>
                <w:color w:val="2F5496" w:themeColor="accent1" w:themeShade="BF"/>
                <w:sz w:val="22"/>
                <w:szCs w:val="22"/>
              </w:rPr>
              <w:t>Givans</w:t>
            </w:r>
            <w:proofErr w:type="spellEnd"/>
          </w:p>
          <w:p w:rsidR="00C2777D" w:rsidRPr="00C2777D" w:rsidRDefault="00C2777D" w:rsidP="00C2777D">
            <w:pPr>
              <w:jc w:val="center"/>
              <w:rPr>
                <w:rFonts w:ascii="Arial Narrow" w:hAnsi="Arial Narrow"/>
                <w:color w:val="2F5496" w:themeColor="accent1" w:themeShade="BF"/>
                <w:sz w:val="22"/>
                <w:szCs w:val="22"/>
              </w:rPr>
            </w:pPr>
            <w:r>
              <w:rPr>
                <w:rFonts w:ascii="Arial Narrow" w:hAnsi="Arial Narrow"/>
                <w:color w:val="2F5496" w:themeColor="accent1" w:themeShade="BF"/>
                <w:sz w:val="22"/>
                <w:szCs w:val="22"/>
              </w:rPr>
              <w:t>Director of Detention</w:t>
            </w:r>
          </w:p>
        </w:tc>
        <w:tc>
          <w:tcPr>
            <w:tcW w:w="7555" w:type="dxa"/>
            <w:tcBorders>
              <w:top w:val="nil"/>
              <w:left w:val="single" w:sz="4" w:space="0" w:color="2F5496" w:themeColor="accent1" w:themeShade="BF"/>
              <w:bottom w:val="nil"/>
              <w:right w:val="nil"/>
            </w:tcBorders>
          </w:tcPr>
          <w:p w:rsidR="00C2777D" w:rsidRDefault="00C2777D"/>
          <w:tbl>
            <w:tblPr>
              <w:tblW w:w="0" w:type="auto"/>
              <w:tblBorders>
                <w:top w:val="nil"/>
                <w:left w:val="nil"/>
                <w:bottom w:val="nil"/>
                <w:right w:val="nil"/>
              </w:tblBorders>
              <w:tblLook w:val="0000" w:firstRow="0" w:lastRow="0" w:firstColumn="0" w:lastColumn="0" w:noHBand="0" w:noVBand="0"/>
            </w:tblPr>
            <w:tblGrid>
              <w:gridCol w:w="7339"/>
            </w:tblGrid>
            <w:tr w:rsidR="00D176AD">
              <w:tblPrEx>
                <w:tblCellMar>
                  <w:top w:w="0" w:type="dxa"/>
                  <w:bottom w:w="0" w:type="dxa"/>
                </w:tblCellMar>
              </w:tblPrEx>
              <w:trPr>
                <w:trHeight w:val="4256"/>
              </w:trPr>
              <w:tc>
                <w:tcPr>
                  <w:tcW w:w="0" w:type="auto"/>
                </w:tcPr>
                <w:p w:rsidR="00D176AD" w:rsidRDefault="00D176AD" w:rsidP="00D176AD">
                  <w:pPr>
                    <w:pStyle w:val="Default"/>
                    <w:jc w:val="center"/>
                    <w:rPr>
                      <w:sz w:val="23"/>
                      <w:szCs w:val="23"/>
                    </w:rPr>
                  </w:pPr>
                  <w:r>
                    <w:rPr>
                      <w:b/>
                      <w:bCs/>
                      <w:sz w:val="23"/>
                      <w:szCs w:val="23"/>
                    </w:rPr>
                    <w:t>JOB ANNOUNCEMENT</w:t>
                  </w:r>
                </w:p>
                <w:p w:rsidR="00D176AD" w:rsidRDefault="00D176AD" w:rsidP="00D176AD">
                  <w:pPr>
                    <w:pStyle w:val="Default"/>
                    <w:jc w:val="center"/>
                    <w:rPr>
                      <w:sz w:val="23"/>
                      <w:szCs w:val="23"/>
                    </w:rPr>
                  </w:pPr>
                  <w:r>
                    <w:rPr>
                      <w:sz w:val="23"/>
                      <w:szCs w:val="23"/>
                    </w:rPr>
                    <w:t>August 25, 2025</w:t>
                  </w:r>
                </w:p>
                <w:p w:rsidR="00D176AD" w:rsidRDefault="00D176AD" w:rsidP="00D176AD">
                  <w:pPr>
                    <w:pStyle w:val="Default"/>
                    <w:jc w:val="center"/>
                    <w:rPr>
                      <w:b/>
                      <w:bCs/>
                      <w:sz w:val="23"/>
                      <w:szCs w:val="23"/>
                    </w:rPr>
                  </w:pPr>
                  <w:r>
                    <w:rPr>
                      <w:b/>
                      <w:bCs/>
                      <w:sz w:val="23"/>
                      <w:szCs w:val="23"/>
                    </w:rPr>
                    <w:t>44</w:t>
                  </w:r>
                  <w:r>
                    <w:rPr>
                      <w:b/>
                      <w:bCs/>
                      <w:sz w:val="16"/>
                      <w:szCs w:val="16"/>
                    </w:rPr>
                    <w:t xml:space="preserve">TH </w:t>
                  </w:r>
                  <w:r>
                    <w:rPr>
                      <w:b/>
                      <w:bCs/>
                      <w:sz w:val="23"/>
                      <w:szCs w:val="23"/>
                    </w:rPr>
                    <w:t>JUDICIAL CIRCUIT</w:t>
                  </w:r>
                </w:p>
                <w:p w:rsidR="00D176AD" w:rsidRPr="00D176AD" w:rsidRDefault="00D176AD" w:rsidP="00D176AD">
                  <w:pPr>
                    <w:pStyle w:val="Default"/>
                    <w:rPr>
                      <w:sz w:val="20"/>
                      <w:szCs w:val="20"/>
                    </w:rPr>
                  </w:pPr>
                </w:p>
                <w:p w:rsidR="00D176AD" w:rsidRDefault="00D176AD" w:rsidP="00D176AD">
                  <w:pPr>
                    <w:pStyle w:val="Default"/>
                    <w:rPr>
                      <w:sz w:val="20"/>
                      <w:szCs w:val="20"/>
                    </w:rPr>
                  </w:pPr>
                  <w:r>
                    <w:rPr>
                      <w:b/>
                      <w:bCs/>
                      <w:sz w:val="20"/>
                      <w:szCs w:val="20"/>
                    </w:rPr>
                    <w:t>JOB TITLE</w:t>
                  </w:r>
                  <w:r>
                    <w:rPr>
                      <w:sz w:val="20"/>
                      <w:szCs w:val="20"/>
                    </w:rPr>
                    <w:t>: DEPUTY JUVENILE OFFICER (Juvenile Officer I Intensive Probation)</w:t>
                  </w:r>
                </w:p>
                <w:p w:rsidR="00D176AD" w:rsidRDefault="00D176AD" w:rsidP="00D176AD">
                  <w:pPr>
                    <w:pStyle w:val="Default"/>
                    <w:rPr>
                      <w:sz w:val="20"/>
                      <w:szCs w:val="20"/>
                    </w:rPr>
                  </w:pPr>
                  <w:r>
                    <w:rPr>
                      <w:sz w:val="20"/>
                      <w:szCs w:val="20"/>
                    </w:rPr>
                    <w:t xml:space="preserve"> </w:t>
                  </w:r>
                </w:p>
                <w:p w:rsidR="00D176AD" w:rsidRDefault="00D176AD" w:rsidP="00D176AD">
                  <w:pPr>
                    <w:pStyle w:val="Default"/>
                    <w:rPr>
                      <w:sz w:val="20"/>
                      <w:szCs w:val="20"/>
                    </w:rPr>
                  </w:pPr>
                  <w:r>
                    <w:rPr>
                      <w:b/>
                      <w:bCs/>
                      <w:sz w:val="20"/>
                      <w:szCs w:val="20"/>
                    </w:rPr>
                    <w:t>LOCATION</w:t>
                  </w:r>
                  <w:r>
                    <w:rPr>
                      <w:sz w:val="20"/>
                      <w:szCs w:val="20"/>
                    </w:rPr>
                    <w:t>: The 44</w:t>
                  </w:r>
                  <w:r>
                    <w:rPr>
                      <w:sz w:val="13"/>
                      <w:szCs w:val="13"/>
                    </w:rPr>
                    <w:t xml:space="preserve">th </w:t>
                  </w:r>
                  <w:r>
                    <w:rPr>
                      <w:sz w:val="20"/>
                      <w:szCs w:val="20"/>
                    </w:rPr>
                    <w:t xml:space="preserve">Circuit Consists of Douglas, Ozark, and Wright Counties. Base is in Mountain Grove, Wright County, Missouri. </w:t>
                  </w:r>
                </w:p>
                <w:p w:rsidR="00D176AD" w:rsidRDefault="00D176AD" w:rsidP="00D176AD">
                  <w:pPr>
                    <w:pStyle w:val="Default"/>
                    <w:rPr>
                      <w:sz w:val="20"/>
                      <w:szCs w:val="20"/>
                    </w:rPr>
                  </w:pPr>
                </w:p>
                <w:p w:rsidR="00D176AD" w:rsidRDefault="00D176AD" w:rsidP="00D176AD">
                  <w:pPr>
                    <w:pStyle w:val="Default"/>
                    <w:rPr>
                      <w:sz w:val="20"/>
                      <w:szCs w:val="20"/>
                    </w:rPr>
                  </w:pPr>
                  <w:r>
                    <w:rPr>
                      <w:b/>
                      <w:bCs/>
                      <w:sz w:val="20"/>
                      <w:szCs w:val="20"/>
                    </w:rPr>
                    <w:t>FULL TIME POSITION</w:t>
                  </w:r>
                  <w:r>
                    <w:rPr>
                      <w:sz w:val="20"/>
                      <w:szCs w:val="20"/>
                    </w:rPr>
                    <w:t xml:space="preserve">: 40 HOURS WEEKLY </w:t>
                  </w:r>
                </w:p>
                <w:p w:rsidR="00D176AD" w:rsidRDefault="00D176AD" w:rsidP="00D176AD">
                  <w:pPr>
                    <w:pStyle w:val="Default"/>
                    <w:rPr>
                      <w:sz w:val="20"/>
                      <w:szCs w:val="20"/>
                    </w:rPr>
                  </w:pPr>
                  <w:r>
                    <w:rPr>
                      <w:b/>
                      <w:bCs/>
                      <w:sz w:val="20"/>
                      <w:szCs w:val="20"/>
                    </w:rPr>
                    <w:t>STARTING SALARY</w:t>
                  </w:r>
                  <w:r>
                    <w:rPr>
                      <w:sz w:val="20"/>
                      <w:szCs w:val="20"/>
                    </w:rPr>
                    <w:t>: $37,287.00</w:t>
                  </w:r>
                  <w:r>
                    <w:rPr>
                      <w:sz w:val="20"/>
                      <w:szCs w:val="20"/>
                    </w:rPr>
                    <w:t>-$41,000.00</w:t>
                  </w:r>
                </w:p>
                <w:p w:rsidR="00D176AD" w:rsidRDefault="00D176AD" w:rsidP="00D176AD">
                  <w:pPr>
                    <w:pStyle w:val="Default"/>
                    <w:rPr>
                      <w:sz w:val="20"/>
                      <w:szCs w:val="20"/>
                    </w:rPr>
                  </w:pPr>
                </w:p>
                <w:p w:rsidR="00D176AD" w:rsidRDefault="00D176AD" w:rsidP="00D176AD">
                  <w:pPr>
                    <w:pStyle w:val="Default"/>
                    <w:rPr>
                      <w:sz w:val="20"/>
                      <w:szCs w:val="20"/>
                    </w:rPr>
                  </w:pPr>
                  <w:r>
                    <w:rPr>
                      <w:b/>
                      <w:bCs/>
                      <w:sz w:val="20"/>
                      <w:szCs w:val="20"/>
                    </w:rPr>
                    <w:t>DESCRIPTION OF DUTIES</w:t>
                  </w:r>
                  <w:r>
                    <w:rPr>
                      <w:sz w:val="20"/>
                      <w:szCs w:val="20"/>
                    </w:rPr>
                    <w:t xml:space="preserve">: An employee in this position is vested with the statutory authority of a juvenile officer to take charge of children who come under the jurisdiction of the juvenile court and will work with Law Enforcement, Children's Division, schools and the community on juvenile related matters. The position is located in Mountain Grove, MO serving Douglas, Ozark, and Wright Counties. Knowledge of juvenile courts and procedures, statues, and laws regarding juvenile cases, personal computers and software. Ability to apprehend and detain alleged juvenile offenders, prepare motions, petitions, and other legal documents for each juvenile on caseload. On-call Assignments. Ability to handle potentially hostile situations with a juvenile and family regarding a referral. </w:t>
                  </w:r>
                  <w:r>
                    <w:rPr>
                      <w:sz w:val="20"/>
                      <w:szCs w:val="20"/>
                    </w:rPr>
                    <w:t>Primary duties will be to supervise juveniles on probation to ensure compliance with the conditions of probation.</w:t>
                  </w:r>
                </w:p>
                <w:p w:rsidR="00D176AD" w:rsidRDefault="00D176AD" w:rsidP="00D176AD">
                  <w:pPr>
                    <w:pStyle w:val="Default"/>
                    <w:rPr>
                      <w:sz w:val="20"/>
                      <w:szCs w:val="20"/>
                    </w:rPr>
                  </w:pPr>
                </w:p>
                <w:p w:rsidR="00D176AD" w:rsidRDefault="00D176AD" w:rsidP="00D176AD">
                  <w:pPr>
                    <w:pStyle w:val="Default"/>
                    <w:rPr>
                      <w:sz w:val="20"/>
                      <w:szCs w:val="20"/>
                    </w:rPr>
                  </w:pPr>
                  <w:r>
                    <w:rPr>
                      <w:b/>
                      <w:bCs/>
                      <w:sz w:val="20"/>
                      <w:szCs w:val="20"/>
                    </w:rPr>
                    <w:t>MINIMUM QUALIFICATIONS</w:t>
                  </w:r>
                  <w:r>
                    <w:rPr>
                      <w:sz w:val="20"/>
                      <w:szCs w:val="20"/>
                    </w:rPr>
                    <w:t xml:space="preserve">: Applicants must be at least 21 years of age having satisfactorily completed four years of college education with a major degree in Criminal Justice Administration, Criminology, Psychology, Sociology, Social Work, or related field or professional employment in a public or private agency involving substantial amount of time </w:t>
                  </w:r>
                  <w:r>
                    <w:rPr>
                      <w:b/>
                      <w:bCs/>
                      <w:sz w:val="20"/>
                      <w:szCs w:val="20"/>
                    </w:rPr>
                    <w:t xml:space="preserve">(over 50% time) in the delivery of protective services to families, adults, children or the aged may be substituted on a year for year basis for the required education. </w:t>
                  </w:r>
                  <w:r>
                    <w:rPr>
                      <w:sz w:val="20"/>
                      <w:szCs w:val="20"/>
                    </w:rPr>
                    <w:t xml:space="preserve">Applicants must be properly licensed to operate a motor vehicle, have reliable transportation, and be properly insured. Competent communication skills are necessary. Applicant for Juvenile Officer II must have two years’ experience as a Juvenile Officer I or equivalent. </w:t>
                  </w:r>
                </w:p>
                <w:p w:rsidR="00D176AD" w:rsidRDefault="00D176AD" w:rsidP="00D176AD">
                  <w:pPr>
                    <w:pStyle w:val="Default"/>
                    <w:rPr>
                      <w:sz w:val="20"/>
                      <w:szCs w:val="20"/>
                    </w:rPr>
                  </w:pPr>
                </w:p>
                <w:p w:rsidR="00D176AD" w:rsidRDefault="00D176AD" w:rsidP="00D176AD">
                  <w:pPr>
                    <w:pStyle w:val="Default"/>
                    <w:rPr>
                      <w:b/>
                      <w:bCs/>
                      <w:color w:val="0562C1"/>
                      <w:sz w:val="20"/>
                      <w:szCs w:val="20"/>
                    </w:rPr>
                  </w:pPr>
                  <w:r>
                    <w:rPr>
                      <w:b/>
                      <w:bCs/>
                      <w:sz w:val="20"/>
                      <w:szCs w:val="20"/>
                    </w:rPr>
                    <w:t>APPLICATION PROCESS</w:t>
                  </w:r>
                  <w:r>
                    <w:rPr>
                      <w:sz w:val="20"/>
                      <w:szCs w:val="20"/>
                    </w:rPr>
                    <w:t>: Submit a resume and cover letter to the 44</w:t>
                  </w:r>
                  <w:r>
                    <w:rPr>
                      <w:sz w:val="13"/>
                      <w:szCs w:val="13"/>
                    </w:rPr>
                    <w:t xml:space="preserve">th </w:t>
                  </w:r>
                  <w:r>
                    <w:rPr>
                      <w:sz w:val="20"/>
                      <w:szCs w:val="20"/>
                    </w:rPr>
                    <w:t xml:space="preserve">Circuit Juvenile Office, Attn: Marla Solomon, PO BOX 390, Mountain Grove, MO 65711 or </w:t>
                  </w:r>
                  <w:r>
                    <w:rPr>
                      <w:b/>
                      <w:bCs/>
                      <w:sz w:val="20"/>
                      <w:szCs w:val="20"/>
                    </w:rPr>
                    <w:t xml:space="preserve">email to </w:t>
                  </w:r>
                  <w:hyperlink r:id="rId7" w:history="1">
                    <w:r w:rsidRPr="00890AA7">
                      <w:rPr>
                        <w:rStyle w:val="Hyperlink"/>
                        <w:b/>
                        <w:bCs/>
                        <w:sz w:val="20"/>
                        <w:szCs w:val="20"/>
                      </w:rPr>
                      <w:t>Marla.Solomon@courts.mo.gov</w:t>
                    </w:r>
                  </w:hyperlink>
                  <w:r>
                    <w:rPr>
                      <w:b/>
                      <w:bCs/>
                      <w:color w:val="0562C1"/>
                      <w:sz w:val="20"/>
                      <w:szCs w:val="20"/>
                    </w:rPr>
                    <w:t xml:space="preserve"> </w:t>
                  </w:r>
                </w:p>
                <w:p w:rsidR="00D176AD" w:rsidRDefault="00D176AD" w:rsidP="00D176AD">
                  <w:pPr>
                    <w:pStyle w:val="Default"/>
                    <w:rPr>
                      <w:color w:val="0562C1"/>
                      <w:sz w:val="20"/>
                      <w:szCs w:val="20"/>
                    </w:rPr>
                  </w:pPr>
                </w:p>
                <w:p w:rsidR="00D176AD" w:rsidRDefault="00D176AD" w:rsidP="00D176AD">
                  <w:pPr>
                    <w:pStyle w:val="Default"/>
                    <w:jc w:val="center"/>
                    <w:rPr>
                      <w:sz w:val="20"/>
                      <w:szCs w:val="20"/>
                    </w:rPr>
                  </w:pPr>
                  <w:r>
                    <w:rPr>
                      <w:sz w:val="20"/>
                      <w:szCs w:val="20"/>
                    </w:rPr>
                    <w:t>The 44</w:t>
                  </w:r>
                  <w:r>
                    <w:rPr>
                      <w:sz w:val="13"/>
                      <w:szCs w:val="13"/>
                    </w:rPr>
                    <w:t xml:space="preserve">th </w:t>
                  </w:r>
                  <w:r>
                    <w:rPr>
                      <w:sz w:val="20"/>
                      <w:szCs w:val="20"/>
                    </w:rPr>
                    <w:t>Judicial Circuit is an Equal Opportunity Employer</w:t>
                  </w:r>
                </w:p>
              </w:tc>
            </w:tr>
          </w:tbl>
          <w:p w:rsidR="00504F41" w:rsidRDefault="00504F41" w:rsidP="00EB5ACD">
            <w:pPr>
              <w:pStyle w:val="NormalWeb"/>
              <w:spacing w:before="0" w:beforeAutospacing="0" w:after="0" w:afterAutospacing="0"/>
            </w:pPr>
          </w:p>
        </w:tc>
      </w:tr>
      <w:tr w:rsidR="00C2777D" w:rsidTr="00C2777D">
        <w:tc>
          <w:tcPr>
            <w:tcW w:w="9715" w:type="dxa"/>
            <w:gridSpan w:val="2"/>
            <w:tcBorders>
              <w:top w:val="nil"/>
              <w:left w:val="nil"/>
              <w:bottom w:val="nil"/>
              <w:right w:val="nil"/>
            </w:tcBorders>
          </w:tcPr>
          <w:p w:rsidR="00C2777D" w:rsidRPr="00C2777D" w:rsidRDefault="00C2777D" w:rsidP="00C2777D">
            <w:pPr>
              <w:jc w:val="center"/>
              <w:rPr>
                <w:rFonts w:ascii="Arial Narrow" w:hAnsi="Arial Narrow"/>
                <w:i/>
                <w:sz w:val="22"/>
                <w:szCs w:val="22"/>
              </w:rPr>
            </w:pPr>
          </w:p>
        </w:tc>
      </w:tr>
    </w:tbl>
    <w:p w:rsidR="006750CE" w:rsidRDefault="00D148B5" w:rsidP="00C2777D"/>
    <w:sectPr w:rsidR="006750CE" w:rsidSect="00371A94">
      <w:footerReference w:type="default" r:id="rId8"/>
      <w:pgSz w:w="12240" w:h="15840"/>
      <w:pgMar w:top="1440" w:right="108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8B5" w:rsidRDefault="00D148B5" w:rsidP="00976281">
      <w:pPr>
        <w:spacing w:after="0" w:line="240" w:lineRule="auto"/>
      </w:pPr>
      <w:r>
        <w:separator/>
      </w:r>
    </w:p>
  </w:endnote>
  <w:endnote w:type="continuationSeparator" w:id="0">
    <w:p w:rsidR="00D148B5" w:rsidRDefault="00D148B5" w:rsidP="0097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281" w:rsidRPr="00976281" w:rsidRDefault="00976281" w:rsidP="00976281">
    <w:pPr>
      <w:pStyle w:val="Footer"/>
      <w:jc w:val="center"/>
      <w:rPr>
        <w:i/>
        <w:color w:val="2F5496" w:themeColor="accent1" w:themeShade="BF"/>
        <w:sz w:val="20"/>
        <w:szCs w:val="20"/>
      </w:rPr>
    </w:pPr>
    <w:r w:rsidRPr="00976281">
      <w:rPr>
        <w:i/>
        <w:color w:val="2F5496" w:themeColor="accent1" w:themeShade="BF"/>
        <w:sz w:val="20"/>
        <w:szCs w:val="20"/>
      </w:rPr>
      <w:t>Wright, Douglas &amp; Ozark Counties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8B5" w:rsidRDefault="00D148B5" w:rsidP="00976281">
      <w:pPr>
        <w:spacing w:after="0" w:line="240" w:lineRule="auto"/>
      </w:pPr>
      <w:r>
        <w:separator/>
      </w:r>
    </w:p>
  </w:footnote>
  <w:footnote w:type="continuationSeparator" w:id="0">
    <w:p w:rsidR="00D148B5" w:rsidRDefault="00D148B5" w:rsidP="009762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7D"/>
    <w:rsid w:val="00221963"/>
    <w:rsid w:val="002E7ECA"/>
    <w:rsid w:val="00371A94"/>
    <w:rsid w:val="00504F41"/>
    <w:rsid w:val="00535783"/>
    <w:rsid w:val="00676D9C"/>
    <w:rsid w:val="00721D17"/>
    <w:rsid w:val="008159DE"/>
    <w:rsid w:val="00967A29"/>
    <w:rsid w:val="00976281"/>
    <w:rsid w:val="00980D5E"/>
    <w:rsid w:val="009952E6"/>
    <w:rsid w:val="00A501D8"/>
    <w:rsid w:val="00A85D54"/>
    <w:rsid w:val="00B10F69"/>
    <w:rsid w:val="00B150A3"/>
    <w:rsid w:val="00B84FD3"/>
    <w:rsid w:val="00B9070B"/>
    <w:rsid w:val="00C2777D"/>
    <w:rsid w:val="00D148B5"/>
    <w:rsid w:val="00D176AD"/>
    <w:rsid w:val="00D434C8"/>
    <w:rsid w:val="00DA290F"/>
    <w:rsid w:val="00DA60D6"/>
    <w:rsid w:val="00DB7C17"/>
    <w:rsid w:val="00EB5ACD"/>
    <w:rsid w:val="00FE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4CAB3"/>
  <w15:chartTrackingRefBased/>
  <w15:docId w15:val="{52E37330-6CE2-4A5F-8DEB-E19B00AC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6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81"/>
  </w:style>
  <w:style w:type="paragraph" w:styleId="Footer">
    <w:name w:val="footer"/>
    <w:basedOn w:val="Normal"/>
    <w:link w:val="FooterChar"/>
    <w:uiPriority w:val="99"/>
    <w:unhideWhenUsed/>
    <w:rsid w:val="00976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281"/>
  </w:style>
  <w:style w:type="paragraph" w:styleId="NormalWeb">
    <w:name w:val="Normal (Web)"/>
    <w:basedOn w:val="Normal"/>
    <w:uiPriority w:val="99"/>
    <w:unhideWhenUsed/>
    <w:rsid w:val="00504F41"/>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504F41"/>
    <w:rPr>
      <w:color w:val="0563C1" w:themeColor="hyperlink"/>
      <w:u w:val="single"/>
    </w:rPr>
  </w:style>
  <w:style w:type="character" w:styleId="UnresolvedMention">
    <w:name w:val="Unresolved Mention"/>
    <w:basedOn w:val="DefaultParagraphFont"/>
    <w:uiPriority w:val="99"/>
    <w:semiHidden/>
    <w:unhideWhenUsed/>
    <w:rsid w:val="00A501D8"/>
    <w:rPr>
      <w:color w:val="605E5C"/>
      <w:shd w:val="clear" w:color="auto" w:fill="E1DFDD"/>
    </w:rPr>
  </w:style>
  <w:style w:type="paragraph" w:customStyle="1" w:styleId="Default">
    <w:name w:val="Default"/>
    <w:rsid w:val="00D176AD"/>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68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rla.Solomon@courts.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M. Higby</dc:creator>
  <cp:keywords/>
  <dc:description/>
  <cp:lastModifiedBy>Marla D. Solomon</cp:lastModifiedBy>
  <cp:revision>2</cp:revision>
  <cp:lastPrinted>2025-01-15T14:46:00Z</cp:lastPrinted>
  <dcterms:created xsi:type="dcterms:W3CDTF">2025-08-25T18:14:00Z</dcterms:created>
  <dcterms:modified xsi:type="dcterms:W3CDTF">2025-08-25T18:14:00Z</dcterms:modified>
</cp:coreProperties>
</file>